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EDCE" w14:textId="22A64E09" w:rsidR="00CB79D8" w:rsidRPr="00CB79D8" w:rsidRDefault="00CB79D8" w:rsidP="00CB79D8">
      <w:pPr>
        <w:shd w:val="clear" w:color="auto" w:fill="FFFFFF"/>
        <w:spacing w:before="480" w:after="240" w:line="510" w:lineRule="atLeast"/>
        <w:outlineLvl w:val="0"/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  <w14:ligatures w14:val="none"/>
        </w:rPr>
        <w:t>Лечение радиофармпрепаратом Самарий</w:t>
      </w:r>
      <w:r w:rsidR="00B339EE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  <w14:ligatures w14:val="none"/>
        </w:rPr>
        <w:t xml:space="preserve">, </w:t>
      </w:r>
      <w:r w:rsidR="00B339EE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vertAlign w:val="superscript"/>
          <w:lang w:eastAsia="ru-RU"/>
          <w14:ligatures w14:val="none"/>
        </w:rPr>
        <w:t>153</w:t>
      </w:r>
      <w:r w:rsidRPr="00CB79D8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  <w14:ligatures w14:val="none"/>
        </w:rPr>
        <w:t>Sm оксабифор</w:t>
      </w:r>
    </w:p>
    <w:p w14:paraId="4E8EC6A9" w14:textId="2DFAE942" w:rsidR="00CB79D8" w:rsidRPr="00CB79D8" w:rsidRDefault="00CB79D8" w:rsidP="00CB79D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Самарий</w:t>
      </w:r>
      <w:r w:rsidR="00B339EE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,</w:t>
      </w:r>
      <w:r w:rsidRPr="00CB79D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="00B339EE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vertAlign w:val="superscript"/>
          <w:lang w:eastAsia="ru-RU"/>
          <w14:ligatures w14:val="none"/>
        </w:rPr>
        <w:t>153</w:t>
      </w:r>
      <w:r w:rsidRPr="00CB79D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Sm оксабифор</w:t>
      </w: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— это эффективный метод паллиативной терапии, предназначенный для пациентов с множественными костными метастазами, преимущественно при раке предстательной и молочной железы (допускается наличие висцеральных метастазов).</w:t>
      </w:r>
    </w:p>
    <w:p w14:paraId="56681E88" w14:textId="77777777" w:rsidR="00CB79D8" w:rsidRPr="00CB79D8" w:rsidRDefault="00CB79D8" w:rsidP="00CB79D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Процедура проводится однократно в условиях дневного стационара отделения радионуклидной диагностики и терапии. При необходимости (в случае положительной динамики и отсутствии противопоказаний) возможно повторное лечение через 6 месяцев.</w:t>
      </w:r>
    </w:p>
    <w:p w14:paraId="736818C7" w14:textId="77777777" w:rsidR="00CB79D8" w:rsidRPr="00CB79D8" w:rsidRDefault="00CB79D8" w:rsidP="00CB79D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Показания к проведению терапии</w:t>
      </w:r>
    </w:p>
    <w:p w14:paraId="7B8B6E2B" w14:textId="77777777" w:rsidR="00CB79D8" w:rsidRPr="00CB79D8" w:rsidRDefault="00CB79D8" w:rsidP="00CB79D8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Множественные метастазы в кости при раке молочной или предстательной железы.</w:t>
      </w:r>
    </w:p>
    <w:p w14:paraId="2F0E6CC5" w14:textId="77777777" w:rsidR="00CB79D8" w:rsidRPr="00CB79D8" w:rsidRDefault="00CB79D8" w:rsidP="00CB79D8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Болевой синдром, вызванный поражением костных метастазов.</w:t>
      </w:r>
    </w:p>
    <w:p w14:paraId="576F92DD" w14:textId="77777777" w:rsidR="00CB79D8" w:rsidRPr="00CB79D8" w:rsidRDefault="00CB79D8" w:rsidP="00CB79D8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Прогрессирование костных метастазов на фоне проводимого лечения.</w:t>
      </w:r>
    </w:p>
    <w:p w14:paraId="6E620532" w14:textId="77777777" w:rsidR="00CB79D8" w:rsidRPr="00CB79D8" w:rsidRDefault="00CB79D8" w:rsidP="00CB79D8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Ожидаемая продолжительность жизни более 3 месяцев.</w:t>
      </w:r>
    </w:p>
    <w:p w14:paraId="416E31FF" w14:textId="7A0D98FC" w:rsidR="00CB79D8" w:rsidRPr="00CB79D8" w:rsidRDefault="00CB79D8" w:rsidP="00CB79D8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Обязательное условие:</w:t>
      </w: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положительные результаты остеосцинтиграфии (повышенное накопление в метастазах</w:t>
      </w:r>
      <w:r w:rsidR="00463CFB" w:rsidRPr="00463CF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="00463CFB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остеотропных</w:t>
      </w: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диагностических препаратов на основе </w:t>
      </w:r>
      <w:r w:rsidR="00B339EE">
        <w:rPr>
          <w:rFonts w:ascii="Segoe UI" w:eastAsia="Times New Roman" w:hAnsi="Segoe UI" w:cs="Segoe UI"/>
          <w:color w:val="0F1115"/>
          <w:kern w:val="0"/>
          <w:sz w:val="24"/>
          <w:szCs w:val="24"/>
          <w:vertAlign w:val="superscript"/>
          <w:lang w:eastAsia="ru-RU"/>
          <w14:ligatures w14:val="none"/>
        </w:rPr>
        <w:t>99</w:t>
      </w:r>
      <w:r w:rsidR="00B339EE">
        <w:rPr>
          <w:rFonts w:ascii="Segoe UI" w:eastAsia="Times New Roman" w:hAnsi="Segoe UI" w:cs="Segoe UI"/>
          <w:color w:val="0F1115"/>
          <w:kern w:val="0"/>
          <w:sz w:val="24"/>
          <w:szCs w:val="24"/>
          <w:vertAlign w:val="superscript"/>
          <w:lang w:val="en-US" w:eastAsia="ru-RU"/>
          <w14:ligatures w14:val="none"/>
        </w:rPr>
        <w:t>m</w:t>
      </w: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Tc).</w:t>
      </w:r>
    </w:p>
    <w:p w14:paraId="3B80CD97" w14:textId="77777777" w:rsidR="00CB79D8" w:rsidRPr="00CB79D8" w:rsidRDefault="00CB79D8" w:rsidP="00CB79D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Противопоказания</w:t>
      </w:r>
    </w:p>
    <w:p w14:paraId="575BFE68" w14:textId="77777777" w:rsidR="00CB79D8" w:rsidRPr="00CB79D8" w:rsidRDefault="00CB79D8" w:rsidP="00CB79D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Направление на лечение рассматривается индивидуально. Процедура не проводится при наличии следующих состояний:</w:t>
      </w:r>
    </w:p>
    <w:p w14:paraId="7F3BD2D7" w14:textId="77777777" w:rsidR="00CB79D8" w:rsidRPr="00CB79D8" w:rsidRDefault="00CB79D8" w:rsidP="00CB79D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1. Снижение гематологических показателей:</w:t>
      </w:r>
    </w:p>
    <w:p w14:paraId="351473FF" w14:textId="77777777" w:rsidR="00CB79D8" w:rsidRPr="00CB79D8" w:rsidRDefault="00CB79D8" w:rsidP="00CB79D8">
      <w:pPr>
        <w:numPr>
          <w:ilvl w:val="0"/>
          <w:numId w:val="2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Уровень тромбоцитов ниже </w:t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:lang w:eastAsia="ru-RU"/>
            <w14:ligatures w14:val="none"/>
          </w:rPr>
          <m:t>100×</m:t>
        </m:r>
        <m:sSup>
          <m:sSup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ru-RU"/>
                <w14:ligatures w14:val="none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ru-RU"/>
                <w14:ligatures w14:val="none"/>
              </w:rPr>
              <m:t>9</m:t>
            </m:r>
          </m:sup>
        </m:sSup>
      </m:oMath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/л;</w:t>
      </w:r>
    </w:p>
    <w:p w14:paraId="6CB2DB12" w14:textId="77777777" w:rsidR="00CB79D8" w:rsidRPr="00CB79D8" w:rsidRDefault="00CB79D8" w:rsidP="00CB79D8">
      <w:pPr>
        <w:numPr>
          <w:ilvl w:val="0"/>
          <w:numId w:val="2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Уровень лейкоцитов ниже </w:t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:lang w:eastAsia="ru-RU"/>
            <w14:ligatures w14:val="none"/>
          </w:rPr>
          <m:t>2,5×</m:t>
        </m:r>
        <m:sSup>
          <m:sSup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ru-RU"/>
                <w14:ligatures w14:val="none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ru-RU"/>
                <w14:ligatures w14:val="none"/>
              </w:rPr>
              <m:t>9</m:t>
            </m:r>
          </m:sup>
        </m:sSup>
      </m:oMath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/л;</w:t>
      </w:r>
    </w:p>
    <w:p w14:paraId="248B2EC9" w14:textId="77777777" w:rsidR="00CB79D8" w:rsidRPr="00CB79D8" w:rsidRDefault="00CB79D8" w:rsidP="00CB79D8">
      <w:pPr>
        <w:numPr>
          <w:ilvl w:val="0"/>
          <w:numId w:val="2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Уровень гемоглобина ниже 90 г/л.</w:t>
      </w:r>
    </w:p>
    <w:p w14:paraId="0A8EA891" w14:textId="77777777" w:rsidR="00CB79D8" w:rsidRPr="00CB79D8" w:rsidRDefault="00CB79D8" w:rsidP="00CB79D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>2. Нарушение функции печени и почек:</w:t>
      </w:r>
    </w:p>
    <w:p w14:paraId="1DE58A76" w14:textId="77777777" w:rsidR="00CB79D8" w:rsidRPr="00CB79D8" w:rsidRDefault="00CB79D8" w:rsidP="00CB79D8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Уровень креатинина более чем в 2 раза превышает верхнюю границу нормы;</w:t>
      </w:r>
    </w:p>
    <w:p w14:paraId="09FD84CC" w14:textId="77777777" w:rsidR="00CB79D8" w:rsidRPr="00CB79D8" w:rsidRDefault="00CB79D8" w:rsidP="00CB79D8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Уровень трансаминаз (АЛТ, АСТ) более чем в 2 раза превышает верхнюю границу нормы.</w:t>
      </w:r>
    </w:p>
    <w:p w14:paraId="5DDC34DD" w14:textId="77777777" w:rsidR="00CB79D8" w:rsidRPr="00CB79D8" w:rsidRDefault="00CB79D8" w:rsidP="00CB79D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3. Общие противопоказания:</w:t>
      </w:r>
    </w:p>
    <w:p w14:paraId="63E4E94F" w14:textId="77777777" w:rsidR="00CB79D8" w:rsidRPr="00CB79D8" w:rsidRDefault="00CB79D8" w:rsidP="00CB79D8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Тяжелое общее состояние (статус по шкале Карновского 50% и ниже).</w:t>
      </w:r>
    </w:p>
    <w:p w14:paraId="5FD77289" w14:textId="77777777" w:rsidR="00CB79D8" w:rsidRPr="00CB79D8" w:rsidRDefault="00CB79D8" w:rsidP="00CB79D8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Прогноз продолжительности жизни менее 2 месяцев.</w:t>
      </w:r>
    </w:p>
    <w:p w14:paraId="6751CEC1" w14:textId="77777777" w:rsidR="00CB79D8" w:rsidRPr="00CB79D8" w:rsidRDefault="00CB79D8" w:rsidP="00CB79D8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Патологический перелом позвоночника с синдромом компрессии спинного мозга.</w:t>
      </w:r>
    </w:p>
    <w:p w14:paraId="4875ABE9" w14:textId="77777777" w:rsidR="00CB79D8" w:rsidRPr="00CB79D8" w:rsidRDefault="00CB79D8" w:rsidP="00CB79D8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Быстрое прогрессирование внекостных метастазов (в печень, легкие, головной мозг и другие органы).</w:t>
      </w:r>
    </w:p>
    <w:p w14:paraId="6550F5C4" w14:textId="77777777" w:rsidR="00CB79D8" w:rsidRPr="00CB79D8" w:rsidRDefault="00CB79D8" w:rsidP="00CB79D8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Одновременное проведение или планирование миелосупрессивной (подавляющей кроветворение) терапии в течение 4 недель до или после радионуклидной терапии.</w:t>
      </w:r>
    </w:p>
    <w:p w14:paraId="6DF13E29" w14:textId="77777777" w:rsidR="00CB79D8" w:rsidRPr="00CB79D8" w:rsidRDefault="00CB79D8" w:rsidP="00CB79D8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Беременность и период грудного вскармливания.</w:t>
      </w:r>
    </w:p>
    <w:p w14:paraId="5AEAA28E" w14:textId="77777777" w:rsidR="00CB79D8" w:rsidRPr="00CB79D8" w:rsidRDefault="00CB79D8" w:rsidP="00CB79D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Необходимые документы и исследования</w:t>
      </w:r>
    </w:p>
    <w:p w14:paraId="766AFE92" w14:textId="77777777" w:rsidR="00CB79D8" w:rsidRPr="00CB79D8" w:rsidRDefault="00CB79D8" w:rsidP="00CB79D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Для принятия решения о лечении врачу-радиологу необходимо предоставить следующий пакет документов:</w:t>
      </w:r>
    </w:p>
    <w:p w14:paraId="01B510D8" w14:textId="77777777" w:rsidR="00CB79D8" w:rsidRPr="00CB79D8" w:rsidRDefault="00CB79D8" w:rsidP="00CB79D8">
      <w:pPr>
        <w:numPr>
          <w:ilvl w:val="0"/>
          <w:numId w:val="5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Выписной эпикриз</w:t>
      </w: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с полным указанием объема ранее проведенного лечения.</w:t>
      </w:r>
    </w:p>
    <w:p w14:paraId="1A53CDDE" w14:textId="77777777" w:rsidR="00CB79D8" w:rsidRPr="00CB79D8" w:rsidRDefault="00CB79D8" w:rsidP="00CB79D8">
      <w:pPr>
        <w:numPr>
          <w:ilvl w:val="0"/>
          <w:numId w:val="5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Решение онкологического консилиума</w:t>
      </w: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о назначении лечения радиофармпрепаратом Самарий-153.</w:t>
      </w:r>
    </w:p>
    <w:p w14:paraId="1C0D7540" w14:textId="77777777" w:rsidR="00CB79D8" w:rsidRPr="00CB79D8" w:rsidRDefault="00CB79D8" w:rsidP="00CB79D8">
      <w:pPr>
        <w:numPr>
          <w:ilvl w:val="0"/>
          <w:numId w:val="5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Результаты инструментальных исследований:</w:t>
      </w: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МРТ, КТ, УЗИ (актуальные).</w:t>
      </w:r>
    </w:p>
    <w:p w14:paraId="4B57DA30" w14:textId="77777777" w:rsidR="00CB79D8" w:rsidRPr="00CB79D8" w:rsidRDefault="00CB79D8" w:rsidP="00CB79D8">
      <w:pPr>
        <w:numPr>
          <w:ilvl w:val="0"/>
          <w:numId w:val="5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Остеосцинтиграфия</w:t>
      </w: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(возможно выполнение исследования непосредственно в нашем отделении).</w:t>
      </w:r>
    </w:p>
    <w:p w14:paraId="045A3749" w14:textId="77777777" w:rsidR="00CB79D8" w:rsidRPr="00CB79D8" w:rsidRDefault="00CB79D8" w:rsidP="00CB79D8">
      <w:pPr>
        <w:numPr>
          <w:ilvl w:val="0"/>
          <w:numId w:val="5"/>
        </w:numPr>
        <w:shd w:val="clear" w:color="auto" w:fill="FFFFFF"/>
        <w:spacing w:after="12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Лабораторные анализы</w:t>
      </w: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(срок давности — не более 10 дней):</w:t>
      </w:r>
    </w:p>
    <w:p w14:paraId="1407A8D0" w14:textId="77777777" w:rsidR="00CB79D8" w:rsidRPr="00CB79D8" w:rsidRDefault="00CB79D8" w:rsidP="00CB79D8">
      <w:pPr>
        <w:numPr>
          <w:ilvl w:val="1"/>
          <w:numId w:val="5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Общий анализ крови;</w:t>
      </w:r>
    </w:p>
    <w:p w14:paraId="04E3FD5F" w14:textId="77777777" w:rsidR="00CB79D8" w:rsidRPr="00CB79D8" w:rsidRDefault="00CB79D8" w:rsidP="00CB79D8">
      <w:pPr>
        <w:numPr>
          <w:ilvl w:val="1"/>
          <w:numId w:val="5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Биохимический анализ крови.</w:t>
      </w:r>
    </w:p>
    <w:p w14:paraId="397BD5C4" w14:textId="77777777" w:rsidR="00CB79D8" w:rsidRPr="00CB79D8" w:rsidRDefault="00CB79D8" w:rsidP="00CB79D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lastRenderedPageBreak/>
        <w:t>Порядок записи на консультацию</w:t>
      </w:r>
    </w:p>
    <w:p w14:paraId="5EC49924" w14:textId="77777777" w:rsidR="00CB79D8" w:rsidRPr="00CB79D8" w:rsidRDefault="00CB79D8" w:rsidP="00CB79D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Для предварительной консультации по поводу радиофармпрепарата необходимо:</w:t>
      </w:r>
    </w:p>
    <w:p w14:paraId="3733EB39" w14:textId="77777777" w:rsidR="00CB79D8" w:rsidRPr="00CB79D8" w:rsidRDefault="00CB79D8" w:rsidP="00CB79D8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Связаться по телефону: </w:t>
      </w:r>
      <w:r w:rsidRPr="00CB79D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8 (4752) 72-71-31</w:t>
      </w: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5DD3A7D2" w14:textId="77777777" w:rsidR="00CB79D8" w:rsidRPr="00CB79D8" w:rsidRDefault="00CB79D8" w:rsidP="00CB79D8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Направить данные исследований на электронную почту: </w:t>
      </w:r>
      <w:r w:rsidRPr="00CB79D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radionuklid68@yandex.ru</w:t>
      </w: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1BDA1362" w14:textId="77777777" w:rsidR="00CB79D8" w:rsidRPr="00CB79D8" w:rsidRDefault="00CB79D8" w:rsidP="00CB79D8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Контактное лицо:</w:t>
      </w: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Заведующий отделением радионуклидной диагностики и терапии (РНДТ) — Абакумова Галина Николаевна.</w:t>
      </w:r>
    </w:p>
    <w:p w14:paraId="18266641" w14:textId="77777777" w:rsidR="00CB79D8" w:rsidRPr="00CB79D8" w:rsidRDefault="00CB79D8" w:rsidP="00CB79D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Адрес и условия проведения</w:t>
      </w:r>
    </w:p>
    <w:p w14:paraId="142D8250" w14:textId="77777777" w:rsidR="00CB79D8" w:rsidRPr="00CB79D8" w:rsidRDefault="00CB79D8" w:rsidP="00CB79D8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Адрес:</w:t>
      </w: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г. Тамбов, ул. Московская, д. 29В, ГБУЗ «ТООКД» (Тамбовский областной онкологический клинический диспансер), отделение радионуклидной диагностики и терапии.</w:t>
      </w:r>
    </w:p>
    <w:p w14:paraId="30ED0178" w14:textId="77777777" w:rsidR="00CB79D8" w:rsidRPr="00CB79D8" w:rsidRDefault="00CB79D8" w:rsidP="00CB79D8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CB79D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Порядок госпитализации:</w:t>
      </w: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Лечение проводится бесплатно в рамках программы </w:t>
      </w:r>
      <w:r w:rsidRPr="00CB79D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ОМС</w:t>
      </w: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. Для госпитализации необходимо наличие </w:t>
      </w:r>
      <w:r w:rsidRPr="00CB79D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направления онколога по форме № 057/у-04</w:t>
      </w:r>
      <w:r w:rsidRPr="00CB79D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675AB977" w14:textId="77777777" w:rsidR="00C47FD6" w:rsidRPr="00CB79D8" w:rsidRDefault="00C47FD6" w:rsidP="00CB79D8"/>
    <w:sectPr w:rsidR="00C47FD6" w:rsidRPr="00CB7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46A2B"/>
    <w:multiLevelType w:val="multilevel"/>
    <w:tmpl w:val="7028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0A0044"/>
    <w:multiLevelType w:val="multilevel"/>
    <w:tmpl w:val="BB72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501ED2"/>
    <w:multiLevelType w:val="multilevel"/>
    <w:tmpl w:val="14E0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F44D09"/>
    <w:multiLevelType w:val="multilevel"/>
    <w:tmpl w:val="46C8F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1E7A16"/>
    <w:multiLevelType w:val="multilevel"/>
    <w:tmpl w:val="D0E2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E3264B"/>
    <w:multiLevelType w:val="multilevel"/>
    <w:tmpl w:val="8A289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F83E6C"/>
    <w:multiLevelType w:val="multilevel"/>
    <w:tmpl w:val="F4F4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536440">
    <w:abstractNumId w:val="0"/>
  </w:num>
  <w:num w:numId="2" w16cid:durableId="146827218">
    <w:abstractNumId w:val="4"/>
  </w:num>
  <w:num w:numId="3" w16cid:durableId="475294861">
    <w:abstractNumId w:val="2"/>
  </w:num>
  <w:num w:numId="4" w16cid:durableId="514149166">
    <w:abstractNumId w:val="1"/>
  </w:num>
  <w:num w:numId="5" w16cid:durableId="2092776313">
    <w:abstractNumId w:val="5"/>
  </w:num>
  <w:num w:numId="6" w16cid:durableId="1789623263">
    <w:abstractNumId w:val="3"/>
  </w:num>
  <w:num w:numId="7" w16cid:durableId="537664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4B"/>
    <w:rsid w:val="0034388D"/>
    <w:rsid w:val="00463CFB"/>
    <w:rsid w:val="005923CD"/>
    <w:rsid w:val="0089304B"/>
    <w:rsid w:val="009D2EF2"/>
    <w:rsid w:val="00B339EE"/>
    <w:rsid w:val="00C47FD6"/>
    <w:rsid w:val="00CB79D8"/>
    <w:rsid w:val="00D749BF"/>
    <w:rsid w:val="00F1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3C9A"/>
  <w15:chartTrackingRefBased/>
  <w15:docId w15:val="{66172281-ED56-4E04-8155-9B095858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88D"/>
  </w:style>
  <w:style w:type="paragraph" w:styleId="1">
    <w:name w:val="heading 1"/>
    <w:basedOn w:val="a"/>
    <w:next w:val="a"/>
    <w:link w:val="10"/>
    <w:uiPriority w:val="9"/>
    <w:qFormat/>
    <w:rsid w:val="00893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0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0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0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3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30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30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30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30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30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30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30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3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3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3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3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30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30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30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30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30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304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438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2026-03-27T06:58:00Z</dcterms:created>
  <dcterms:modified xsi:type="dcterms:W3CDTF">2026-03-27T07:22:00Z</dcterms:modified>
</cp:coreProperties>
</file>